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09FAD" w14:textId="77777777" w:rsidR="000B622C" w:rsidRPr="005C51CB" w:rsidRDefault="000B622C" w:rsidP="000B622C">
      <w:pPr>
        <w:pageBreakBefore/>
        <w:widowControl/>
        <w:spacing w:line="300" w:lineRule="exact"/>
        <w:ind w:leftChars="-1" w:left="-2" w:firstLineChars="51" w:firstLine="123"/>
        <w:rPr>
          <w:b/>
          <w:bCs/>
        </w:rPr>
      </w:pPr>
      <w:r w:rsidRPr="005C51CB">
        <w:rPr>
          <w:rFonts w:ascii="標楷體" w:eastAsia="標楷體" w:hAnsi="標楷體"/>
          <w:b/>
          <w:bCs/>
        </w:rPr>
        <w:lastRenderedPageBreak/>
        <w:t>附表二十六之五：全民健康保險潰瘍性結腸炎使用生物製劑申請表</w:t>
      </w:r>
    </w:p>
    <w:tbl>
      <w:tblPr>
        <w:tblW w:w="0" w:type="auto"/>
        <w:tblInd w:w="11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76"/>
        <w:gridCol w:w="304"/>
        <w:gridCol w:w="2201"/>
        <w:gridCol w:w="290"/>
        <w:gridCol w:w="1095"/>
        <w:gridCol w:w="1037"/>
        <w:gridCol w:w="3086"/>
      </w:tblGrid>
      <w:tr w:rsidR="000B622C" w14:paraId="297C0F6B" w14:textId="77777777" w:rsidTr="000B622C">
        <w:trPr>
          <w:cantSplit/>
          <w:trHeight w:val="376"/>
        </w:trPr>
        <w:tc>
          <w:tcPr>
            <w:tcW w:w="0" w:type="auto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7A74C8" w14:textId="77777777" w:rsidR="000B622C" w:rsidRDefault="000B622C" w:rsidP="0003266F">
            <w:pPr>
              <w:snapToGrid w:val="0"/>
            </w:pPr>
            <w:r>
              <w:rPr>
                <w:rFonts w:ascii="標楷體" w:eastAsia="標楷體" w:hAnsi="標楷體"/>
              </w:rPr>
              <w:t>醫院代號</w:t>
            </w:r>
          </w:p>
        </w:tc>
        <w:tc>
          <w:tcPr>
            <w:tcW w:w="0" w:type="auto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DEFAB2" w14:textId="77777777" w:rsidR="000B622C" w:rsidRDefault="000B622C" w:rsidP="0003266F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443091" w14:textId="77777777" w:rsidR="000B622C" w:rsidRDefault="000B622C" w:rsidP="0003266F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醫院名稱</w:t>
            </w:r>
          </w:p>
        </w:tc>
        <w:tc>
          <w:tcPr>
            <w:tcW w:w="0" w:type="auto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080378" w14:textId="77777777" w:rsidR="000B622C" w:rsidRDefault="000B622C" w:rsidP="0003266F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79CF6F" w14:textId="77777777" w:rsidR="000B622C" w:rsidRDefault="000B622C" w:rsidP="0003266F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申請日期</w:t>
            </w:r>
          </w:p>
        </w:tc>
        <w:tc>
          <w:tcPr>
            <w:tcW w:w="0" w:type="auto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17C20C" w14:textId="77777777" w:rsidR="000B622C" w:rsidRDefault="00551DC0" w:rsidP="0003266F">
            <w:pPr>
              <w:snapToGrid w:val="0"/>
              <w:ind w:firstLine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  <w:kern w:val="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F5A87A4" wp14:editId="6F125234">
                      <wp:simplePos x="0" y="0"/>
                      <wp:positionH relativeFrom="margin">
                        <wp:posOffset>664210</wp:posOffset>
                      </wp:positionH>
                      <wp:positionV relativeFrom="paragraph">
                        <wp:posOffset>-273685</wp:posOffset>
                      </wp:positionV>
                      <wp:extent cx="1264286" cy="320040"/>
                      <wp:effectExtent l="0" t="0" r="0" b="3810"/>
                      <wp:wrapNone/>
                      <wp:docPr id="32" name="文字方塊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4286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5980BEBA" w14:textId="77777777" w:rsidR="00C6448D" w:rsidRPr="005A1231" w:rsidRDefault="00C6448D" w:rsidP="000B622C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5A1231">
                                    <w:rPr>
                                      <w:rFonts w:ascii="標楷體" w:eastAsia="標楷體" w:hAnsi="標楷體"/>
                                    </w:rPr>
                                    <w:t>(114.9.1</w:t>
                                  </w:r>
                                  <w:r w:rsidRPr="005A1231">
                                    <w:rPr>
                                      <w:rFonts w:ascii="標楷體" w:eastAsia="標楷體" w:hAnsi="標楷體" w:hint="eastAsia"/>
                                    </w:rPr>
                                    <w:t>生效</w:t>
                                  </w:r>
                                  <w:r w:rsidRPr="005A1231">
                                    <w:rPr>
                                      <w:rFonts w:ascii="標楷體" w:eastAsia="標楷體" w:hAnsi="標楷體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5A87A4" id="文字方塊 23" o:spid="_x0000_s1042" type="#_x0000_t202" style="position:absolute;left:0;text-align:left;margin-left:52.3pt;margin-top:-21.55pt;width:99.55pt;height:25.2pt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" filled="f" stroked="f">
                      <v:textbox>
                        <w:txbxContent>
                          <w:p w14:paraId="5980BEBA" w14:textId="77777777" w:rsidR="00C6448D" w:rsidRPr="005A1231" w:rsidRDefault="00C6448D" w:rsidP="000B622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A1231">
                              <w:rPr>
                                <w:rFonts w:ascii="標楷體" w:eastAsia="標楷體" w:hAnsi="標楷體"/>
                              </w:rPr>
                              <w:t>(114.9.1</w:t>
                            </w:r>
                            <w:r w:rsidRPr="005A1231">
                              <w:rPr>
                                <w:rFonts w:ascii="標楷體" w:eastAsia="標楷體" w:hAnsi="標楷體" w:hint="eastAsia"/>
                              </w:rPr>
                              <w:t>生效</w:t>
                            </w:r>
                            <w:r w:rsidRPr="005A1231">
                              <w:rPr>
                                <w:rFonts w:ascii="標楷體" w:eastAsia="標楷體" w:hAnsi="標楷體"/>
                              </w:rPr>
                              <w:t>)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0B622C">
              <w:rPr>
                <w:rFonts w:ascii="標楷體" w:eastAsia="標楷體" w:hAnsi="標楷體"/>
              </w:rPr>
              <w:t>年   月  日</w:t>
            </w:r>
          </w:p>
        </w:tc>
      </w:tr>
      <w:tr w:rsidR="000B622C" w14:paraId="25D73FD1" w14:textId="77777777" w:rsidTr="000B622C">
        <w:trPr>
          <w:cantSplit/>
          <w:trHeight w:val="332"/>
        </w:trPr>
        <w:tc>
          <w:tcPr>
            <w:tcW w:w="0" w:type="auto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68332C" w14:textId="77777777" w:rsidR="000B622C" w:rsidRDefault="000B622C" w:rsidP="0003266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病人姓名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7FD469" w14:textId="77777777" w:rsidR="000B622C" w:rsidRDefault="000B622C" w:rsidP="0003266F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04872E" w14:textId="77777777" w:rsidR="000B622C" w:rsidRDefault="000B622C" w:rsidP="0003266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C2AAAF" w14:textId="77777777" w:rsidR="000B622C" w:rsidRDefault="000B622C" w:rsidP="0003266F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1AAD2D" w14:textId="77777777" w:rsidR="000B622C" w:rsidRDefault="000B622C" w:rsidP="0003266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出生日期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727AA1" w14:textId="77777777" w:rsidR="000B622C" w:rsidRDefault="000B622C" w:rsidP="0003266F">
            <w:pPr>
              <w:ind w:firstLine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   月  日</w:t>
            </w:r>
          </w:p>
        </w:tc>
      </w:tr>
      <w:tr w:rsidR="000B622C" w14:paraId="0BED8E4B" w14:textId="77777777" w:rsidTr="000B622C">
        <w:trPr>
          <w:cantSplit/>
          <w:trHeight w:val="356"/>
        </w:trPr>
        <w:tc>
          <w:tcPr>
            <w:tcW w:w="0" w:type="auto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B7F9C9" w14:textId="77777777" w:rsidR="000B622C" w:rsidRDefault="000B622C" w:rsidP="0003266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身分證號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F66B17" w14:textId="77777777" w:rsidR="000B622C" w:rsidRDefault="000B622C" w:rsidP="0003266F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770760" w14:textId="77777777" w:rsidR="000B622C" w:rsidRDefault="000B622C" w:rsidP="0003266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病歷號碼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62ECA7" w14:textId="77777777" w:rsidR="000B622C" w:rsidRDefault="000B622C" w:rsidP="0003266F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1DA964" w14:textId="77777777" w:rsidR="000B622C" w:rsidRDefault="000B622C" w:rsidP="0003266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使用期間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F862A8" w14:textId="77777777" w:rsidR="000B622C" w:rsidRDefault="000B622C" w:rsidP="0003266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自  年   月  日</w:t>
            </w:r>
          </w:p>
        </w:tc>
      </w:tr>
      <w:tr w:rsidR="000B622C" w14:paraId="1863B73C" w14:textId="77777777" w:rsidTr="000B622C">
        <w:trPr>
          <w:cantSplit/>
          <w:trHeight w:val="337"/>
        </w:trPr>
        <w:tc>
          <w:tcPr>
            <w:tcW w:w="0" w:type="auto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787CC2" w14:textId="77777777" w:rsidR="000B622C" w:rsidRDefault="000B622C" w:rsidP="0003266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藥品代碼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56EA15" w14:textId="77777777" w:rsidR="000B622C" w:rsidRDefault="000B622C" w:rsidP="0003266F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5EE5AC" w14:textId="77777777" w:rsidR="000B622C" w:rsidRDefault="000B622C" w:rsidP="0003266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用法用量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9DBA40" w14:textId="77777777" w:rsidR="000B622C" w:rsidRDefault="000B622C" w:rsidP="0003266F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FED6A8" w14:textId="77777777" w:rsidR="000B622C" w:rsidRDefault="000B622C" w:rsidP="0003266F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7DC7B7" w14:textId="77777777" w:rsidR="000B622C" w:rsidRDefault="000B622C" w:rsidP="0003266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至　年   月　日</w:t>
            </w:r>
          </w:p>
        </w:tc>
      </w:tr>
      <w:tr w:rsidR="000B622C" w14:paraId="4FB28E6F" w14:textId="77777777" w:rsidTr="000B622C">
        <w:trPr>
          <w:trHeight w:val="35"/>
        </w:trPr>
        <w:tc>
          <w:tcPr>
            <w:tcW w:w="0" w:type="auto"/>
            <w:gridSpan w:val="7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94719" w14:textId="77777777" w:rsidR="000B622C" w:rsidRDefault="000B622C" w:rsidP="0003266F">
            <w:pPr>
              <w:spacing w:before="202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  <w:bCs/>
                <w:szCs w:val="17"/>
              </w:rPr>
              <w:t>初次使用符合下列所有條件：(中度以上之潰瘍性結腸炎)</w:t>
            </w:r>
          </w:p>
          <w:p w14:paraId="7BA95CCD" w14:textId="77777777" w:rsidR="000B622C" w:rsidRDefault="000B622C" w:rsidP="0003266F">
            <w:pPr>
              <w:ind w:left="653" w:hanging="283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診斷為潰瘍性結腸炎且領有該症重大傷病卡。</w:t>
            </w:r>
          </w:p>
          <w:p w14:paraId="2B5A12B2" w14:textId="77777777" w:rsidR="000B622C" w:rsidRDefault="000B622C" w:rsidP="0003266F">
            <w:pPr>
              <w:ind w:left="799" w:hanging="427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  <w:color w:val="000000"/>
              </w:rPr>
              <w:t>符合下列條件之一，且附上影像診斷評估報告。</w:t>
            </w:r>
          </w:p>
          <w:p w14:paraId="398BF1A2" w14:textId="77777777" w:rsidR="000B622C" w:rsidRDefault="000B622C" w:rsidP="0003266F">
            <w:pPr>
              <w:ind w:left="1025" w:hanging="339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 xml:space="preserve">經5-ASA、皮質類固醇和6-mercaptopurine (6-MP)或azathioprine (AZA)充分治療六個月，仍然無法控制病情(Mayo score </w:t>
            </w:r>
            <w:proofErr w:type="gramStart"/>
            <w:r>
              <w:rPr>
                <w:rFonts w:ascii="標楷體" w:eastAsia="標楷體" w:hAnsi="標楷體" w:cs="新細明體"/>
              </w:rPr>
              <w:t>≧</w:t>
            </w:r>
            <w:proofErr w:type="gramEnd"/>
            <w:r>
              <w:rPr>
                <w:rFonts w:ascii="標楷體" w:eastAsia="標楷體" w:hAnsi="標楷體"/>
              </w:rPr>
              <w:t xml:space="preserve">9和 endoscopy </w:t>
            </w:r>
            <w:proofErr w:type="spellStart"/>
            <w:r>
              <w:rPr>
                <w:rFonts w:ascii="標楷體" w:eastAsia="標楷體" w:hAnsi="標楷體"/>
              </w:rPr>
              <w:t>subscore</w:t>
            </w:r>
            <w:proofErr w:type="spellEnd"/>
            <w:proofErr w:type="gramStart"/>
            <w:r>
              <w:rPr>
                <w:rFonts w:ascii="標楷體" w:eastAsia="標楷體" w:hAnsi="標楷體" w:cs="新細明體"/>
              </w:rPr>
              <w:t>≧</w:t>
            </w:r>
            <w:proofErr w:type="gramEnd"/>
            <w:r>
              <w:rPr>
                <w:rFonts w:ascii="標楷體" w:eastAsia="標楷體" w:hAnsi="標楷體"/>
              </w:rPr>
              <w:t xml:space="preserve"> 2) 或對這種療法無法耐受或有醫療禁者。</w:t>
            </w:r>
          </w:p>
          <w:p w14:paraId="48C1ABD1" w14:textId="77777777" w:rsidR="000B622C" w:rsidRDefault="000B622C" w:rsidP="0003266F">
            <w:pPr>
              <w:ind w:left="721" w:firstLine="29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無法控制病情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Mayo score： _______；endoscopy score：_______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  <w:p w14:paraId="48E95435" w14:textId="77777777" w:rsidR="000B622C" w:rsidRDefault="000B622C" w:rsidP="0003266F">
            <w:pPr>
              <w:ind w:left="735" w:firstLine="34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產生嚴重藥物副作用：</w:t>
            </w:r>
          </w:p>
          <w:p w14:paraId="3A504295" w14:textId="77777777" w:rsidR="000B622C" w:rsidRDefault="000B622C" w:rsidP="0003266F">
            <w:pPr>
              <w:ind w:left="735" w:firstLine="3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藥名_________________時間__________副作用說明：___________________________</w:t>
            </w:r>
          </w:p>
          <w:p w14:paraId="341712FD" w14:textId="77777777" w:rsidR="000B622C" w:rsidRDefault="000B622C" w:rsidP="0003266F">
            <w:pPr>
              <w:rPr>
                <w:rFonts w:ascii="標楷體" w:eastAsia="標楷體" w:hAnsi="標楷體"/>
              </w:rPr>
            </w:pPr>
          </w:p>
          <w:p w14:paraId="74404AF9" w14:textId="77777777" w:rsidR="000B622C" w:rsidRDefault="000B622C" w:rsidP="0003266F">
            <w:pPr>
              <w:ind w:left="1987" w:hanging="1956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  <w:color w:val="000000"/>
              </w:rPr>
              <w:t>初次使用符合下列所有條件：(急性嚴重之潰瘍性結腸炎)</w:t>
            </w:r>
          </w:p>
          <w:p w14:paraId="61893535" w14:textId="77777777" w:rsidR="000B622C" w:rsidRDefault="000B622C" w:rsidP="0003266F">
            <w:pPr>
              <w:ind w:left="1596" w:hanging="1423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  <w:bCs/>
                <w:szCs w:val="17"/>
              </w:rPr>
              <w:t>診斷為</w:t>
            </w:r>
            <w:r>
              <w:rPr>
                <w:rFonts w:ascii="標楷體" w:eastAsia="標楷體" w:hAnsi="標楷體"/>
                <w:color w:val="000000"/>
              </w:rPr>
              <w:t>潰瘍性結腸炎，同時符合下列四要件：</w:t>
            </w:r>
          </w:p>
          <w:p w14:paraId="67CB0ABE" w14:textId="77777777" w:rsidR="000B622C" w:rsidRDefault="000B622C" w:rsidP="0003266F">
            <w:pPr>
              <w:ind w:left="1557" w:hanging="124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Ⅰ.內視鏡下符合潰瘍性結腸炎。</w:t>
            </w:r>
          </w:p>
          <w:p w14:paraId="736808B7" w14:textId="77777777" w:rsidR="000B622C" w:rsidRDefault="000B622C" w:rsidP="0003266F">
            <w:pPr>
              <w:ind w:left="1560" w:hanging="122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Ⅱ.病理切片排除巨細胞病毒腸炎、阿米巴結腸炎、淋巴癌。</w:t>
            </w:r>
          </w:p>
          <w:p w14:paraId="792351AF" w14:textId="77777777" w:rsidR="000B622C" w:rsidRDefault="000B622C" w:rsidP="0003266F">
            <w:pPr>
              <w:ind w:left="1560" w:hanging="124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Ⅲ.糞便檢測排除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困難梭狀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桿菌感染。</w:t>
            </w:r>
          </w:p>
          <w:p w14:paraId="5B01947E" w14:textId="77777777" w:rsidR="000B622C" w:rsidRDefault="000B622C" w:rsidP="0003266F">
            <w:pPr>
              <w:ind w:left="739" w:hanging="425"/>
            </w:pPr>
            <w:r>
              <w:rPr>
                <w:rFonts w:ascii="標楷體" w:eastAsia="標楷體" w:hAnsi="標楷體"/>
                <w:color w:val="000000"/>
              </w:rPr>
              <w:t>Ⅳ.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Mayo Score為12分，經類固醇全劑量靜脈注射(如methylprednisolone 40-60mg/day等)連續治療5天無效。</w:t>
            </w:r>
          </w:p>
          <w:p w14:paraId="66AA9198" w14:textId="77777777" w:rsidR="000B622C" w:rsidRDefault="000B622C" w:rsidP="0003266F">
            <w:pPr>
              <w:ind w:left="1591" w:hanging="1849"/>
            </w:pPr>
            <w:r>
              <w:rPr>
                <w:rFonts w:ascii="標楷體" w:eastAsia="標楷體" w:hAnsi="標楷體"/>
              </w:rPr>
              <w:t></w:t>
            </w: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無法控制病情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Mayo score： _______；endoscopy score：_______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  <w:p w14:paraId="38A05CAB" w14:textId="77777777" w:rsidR="000B622C" w:rsidRDefault="000B622C" w:rsidP="0003266F">
            <w:pPr>
              <w:spacing w:before="202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  <w:bCs/>
                <w:szCs w:val="17"/>
              </w:rPr>
              <w:t>符合繼續使用之療效評估：</w:t>
            </w:r>
          </w:p>
          <w:p w14:paraId="7B0FEDE6" w14:textId="77777777" w:rsidR="000B622C" w:rsidRDefault="000B622C" w:rsidP="0003266F">
            <w:pPr>
              <w:ind w:left="694" w:hanging="322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初次使用者：golimumab以2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(使用2劑)、adalimumab以6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(使用4劑)、</w:t>
            </w:r>
          </w:p>
          <w:p w14:paraId="2D269255" w14:textId="77777777" w:rsidR="000B622C" w:rsidRDefault="000B622C" w:rsidP="0003266F">
            <w:pPr>
              <w:ind w:left="694" w:hanging="95"/>
            </w:pPr>
            <w:r>
              <w:rPr>
                <w:rFonts w:ascii="標楷體" w:eastAsia="標楷體" w:hAnsi="標楷體"/>
              </w:rPr>
              <w:t>vedolizumab以6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(使用3劑)、infliximab以6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(使用</w:t>
            </w:r>
            <w:r>
              <w:rPr>
                <w:rFonts w:ascii="標楷體" w:eastAsia="標楷體" w:hAnsi="標楷體"/>
                <w:u w:val="single"/>
              </w:rPr>
              <w:t>靜脈注射</w:t>
            </w:r>
            <w:r>
              <w:rPr>
                <w:rFonts w:ascii="標楷體" w:eastAsia="標楷體" w:hAnsi="標楷體"/>
              </w:rPr>
              <w:t>3劑</w:t>
            </w:r>
            <w:r>
              <w:rPr>
                <w:rFonts w:ascii="標楷體" w:eastAsia="標楷體" w:hAnsi="標楷體"/>
                <w:u w:val="single"/>
              </w:rPr>
              <w:t>為限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  <w:u w:val="single"/>
              </w:rPr>
              <w:t>，或以2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(使用靜脈注射2劑為限)</w:t>
            </w:r>
            <w:r>
              <w:rPr>
                <w:rFonts w:ascii="標楷體" w:eastAsia="標楷體" w:hAnsi="標楷體"/>
              </w:rPr>
              <w:t xml:space="preserve">、tofacitinib 以 8 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為限、</w:t>
            </w:r>
            <w:proofErr w:type="spellStart"/>
            <w:r>
              <w:rPr>
                <w:rFonts w:ascii="標楷體" w:eastAsia="標楷體" w:hAnsi="標楷體"/>
              </w:rPr>
              <w:t>upadacitinib</w:t>
            </w:r>
            <w:proofErr w:type="spellEnd"/>
            <w:r>
              <w:rPr>
                <w:rFonts w:ascii="標楷體" w:eastAsia="標楷體" w:hAnsi="標楷體"/>
              </w:rPr>
              <w:t>以8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為限(且tofacitinib及</w:t>
            </w:r>
            <w:proofErr w:type="spellStart"/>
            <w:r>
              <w:rPr>
                <w:rFonts w:ascii="標楷體" w:eastAsia="標楷體" w:hAnsi="標楷體"/>
              </w:rPr>
              <w:t>upadacitinib</w:t>
            </w:r>
            <w:proofErr w:type="spellEnd"/>
            <w:r>
              <w:rPr>
                <w:rFonts w:ascii="標楷體" w:eastAsia="標楷體" w:hAnsi="標楷體"/>
              </w:rPr>
              <w:t>限用於其他生物製劑 治療失敗或無法耐受之中至重度活動性潰瘍性結腸炎病人，另使用前應排除有血栓風險之病患，且不建議與azathioprine 與 cyclosporine 合併使用)、</w:t>
            </w:r>
            <w:proofErr w:type="spellStart"/>
            <w:r>
              <w:rPr>
                <w:rFonts w:ascii="標楷體" w:eastAsia="標楷體" w:hAnsi="標楷體"/>
              </w:rPr>
              <w:t>ustekinumab</w:t>
            </w:r>
            <w:proofErr w:type="spellEnd"/>
            <w:r>
              <w:rPr>
                <w:rFonts w:ascii="標楷體" w:eastAsia="標楷體" w:hAnsi="標楷體"/>
              </w:rPr>
              <w:t>以使用靜脈注射1劑為限，治療後達到臨床反應評估，誘導緩解失敗者，得提出申請</w:t>
            </w:r>
            <w:proofErr w:type="gramStart"/>
            <w:r>
              <w:rPr>
                <w:rFonts w:ascii="標楷體" w:eastAsia="標楷體" w:hAnsi="標楷體"/>
              </w:rPr>
              <w:t>轉換他類生物</w:t>
            </w:r>
            <w:proofErr w:type="gramEnd"/>
            <w:r>
              <w:rPr>
                <w:rFonts w:ascii="標楷體" w:eastAsia="標楷體" w:hAnsi="標楷體"/>
              </w:rPr>
              <w:t>製劑，然同一療程不得合併使用。</w:t>
            </w:r>
          </w:p>
          <w:p w14:paraId="3BC8916F" w14:textId="77777777" w:rsidR="000B622C" w:rsidRDefault="000B622C" w:rsidP="0003266F">
            <w:pPr>
              <w:ind w:left="1164" w:hanging="427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達到</w:t>
            </w:r>
            <w:proofErr w:type="gramStart"/>
            <w:r>
              <w:rPr>
                <w:rFonts w:ascii="標楷體" w:eastAsia="標楷體" w:hAnsi="標楷體"/>
              </w:rPr>
              <w:t>有效緩</w:t>
            </w:r>
            <w:proofErr w:type="gramEnd"/>
            <w:r>
              <w:rPr>
                <w:rFonts w:ascii="標楷體" w:eastAsia="標楷體" w:hAnsi="標楷體"/>
              </w:rPr>
              <w:t>解之誘導(</w:t>
            </w:r>
            <w:r>
              <w:rPr>
                <w:rFonts w:ascii="標楷體" w:eastAsia="標楷體" w:hAnsi="標楷體"/>
                <w:color w:val="000000"/>
              </w:rPr>
              <w:t>partial Mayo score評估，相較於初次申請，partial Mayo score減少</w:t>
            </w:r>
            <w:proofErr w:type="gramStart"/>
            <w:r>
              <w:rPr>
                <w:rFonts w:ascii="標楷體" w:eastAsia="標楷體" w:hAnsi="標楷體" w:cs="新細明體"/>
                <w:color w:val="000000"/>
              </w:rPr>
              <w:t>≧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2分且血便項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”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rectal bleeding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”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減少</w:t>
            </w:r>
            <w:proofErr w:type="gramStart"/>
            <w:r>
              <w:rPr>
                <w:rFonts w:ascii="標楷體" w:eastAsia="標楷體" w:hAnsi="標楷體" w:cs="新細明體"/>
                <w:color w:val="000000"/>
              </w:rPr>
              <w:t>≧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1分以上。</w:t>
            </w:r>
            <w:r>
              <w:rPr>
                <w:rFonts w:ascii="標楷體" w:eastAsia="標楷體" w:hAnsi="標楷體"/>
              </w:rPr>
              <w:t xml:space="preserve">) </w:t>
            </w:r>
          </w:p>
          <w:p w14:paraId="18801EE7" w14:textId="77777777" w:rsidR="000B622C" w:rsidRDefault="000B622C" w:rsidP="0003266F">
            <w:pPr>
              <w:ind w:left="1222" w:hanging="425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 xml:space="preserve"> 緩解誘導之使用期間：____年____月至_____年___月</w:t>
            </w:r>
          </w:p>
          <w:p w14:paraId="062E33A7" w14:textId="77777777" w:rsidR="000B622C" w:rsidRDefault="000B622C" w:rsidP="0003266F">
            <w:pPr>
              <w:ind w:left="599" w:hanging="229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繼續使用者：第一次續用評估</w:t>
            </w:r>
            <w:proofErr w:type="gramStart"/>
            <w:r>
              <w:rPr>
                <w:rFonts w:ascii="標楷體" w:eastAsia="標楷體" w:hAnsi="標楷體"/>
              </w:rPr>
              <w:t>採</w:t>
            </w:r>
            <w:proofErr w:type="gramEnd"/>
            <w:r>
              <w:rPr>
                <w:rFonts w:ascii="標楷體" w:eastAsia="標楷體" w:hAnsi="標楷體"/>
              </w:rPr>
              <w:t>Partial Mayo Score評估，最長24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需再續用評估一次。第二次續用評估，必須Mayo Score</w:t>
            </w:r>
            <w:proofErr w:type="gramStart"/>
            <w:r>
              <w:rPr>
                <w:rFonts w:ascii="標楷體" w:eastAsia="標楷體" w:hAnsi="標楷體"/>
              </w:rPr>
              <w:t>≦</w:t>
            </w:r>
            <w:proofErr w:type="gramEnd"/>
            <w:r>
              <w:rPr>
                <w:rFonts w:ascii="標楷體" w:eastAsia="標楷體" w:hAnsi="標楷體"/>
              </w:rPr>
              <w:t xml:space="preserve"> 6分，且Mayo Endoscopic </w:t>
            </w:r>
            <w:proofErr w:type="spellStart"/>
            <w:r>
              <w:rPr>
                <w:rFonts w:ascii="標楷體" w:eastAsia="標楷體" w:hAnsi="標楷體"/>
              </w:rPr>
              <w:t>subscore</w:t>
            </w:r>
            <w:proofErr w:type="spellEnd"/>
            <w:proofErr w:type="gramStart"/>
            <w:r>
              <w:rPr>
                <w:rFonts w:ascii="標楷體" w:eastAsia="標楷體" w:hAnsi="標楷體"/>
              </w:rPr>
              <w:t>≦</w:t>
            </w:r>
            <w:proofErr w:type="gramEnd"/>
            <w:r>
              <w:rPr>
                <w:rFonts w:ascii="標楷體" w:eastAsia="標楷體" w:hAnsi="標楷體"/>
              </w:rPr>
              <w:t xml:space="preserve"> 1分方可再申請繼續使用。</w:t>
            </w:r>
            <w:proofErr w:type="spellStart"/>
            <w:r>
              <w:rPr>
                <w:rFonts w:ascii="標楷體" w:eastAsia="標楷體" w:hAnsi="標楷體"/>
              </w:rPr>
              <w:t>ustekinumab</w:t>
            </w:r>
            <w:proofErr w:type="spellEnd"/>
            <w:r>
              <w:rPr>
                <w:rFonts w:ascii="標楷體" w:eastAsia="標楷體" w:hAnsi="標楷體"/>
              </w:rPr>
              <w:t>治療達到部分</w:t>
            </w:r>
            <w:proofErr w:type="gramStart"/>
            <w:r>
              <w:rPr>
                <w:rFonts w:ascii="標楷體" w:eastAsia="標楷體" w:hAnsi="標楷體"/>
              </w:rPr>
              <w:t>有效緩解者</w:t>
            </w:r>
            <w:proofErr w:type="gramEnd"/>
            <w:r>
              <w:rPr>
                <w:rFonts w:ascii="標楷體" w:eastAsia="標楷體" w:hAnsi="標楷體"/>
              </w:rPr>
              <w:t>，經消化系專科醫師評估後，得申請繼續使用，以每隔8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給予皮下注射維持劑量90mg。golimumab(使用6劑)、adalimumab</w:t>
            </w:r>
            <w:proofErr w:type="gramStart"/>
            <w:r>
              <w:rPr>
                <w:rFonts w:ascii="標楷體" w:eastAsia="標楷體" w:hAnsi="標楷體"/>
              </w:rPr>
              <w:t>需每24週</w:t>
            </w:r>
            <w:proofErr w:type="gramEnd"/>
            <w:r>
              <w:rPr>
                <w:rFonts w:ascii="標楷體" w:eastAsia="標楷體" w:hAnsi="標楷體"/>
              </w:rPr>
              <w:t>(使用12劑)；infliximab</w:t>
            </w:r>
            <w:proofErr w:type="gramStart"/>
            <w:r>
              <w:rPr>
                <w:rFonts w:ascii="標楷體" w:eastAsia="標楷體" w:hAnsi="標楷體"/>
              </w:rPr>
              <w:t>需每16週</w:t>
            </w:r>
            <w:proofErr w:type="gramEnd"/>
            <w:r>
              <w:rPr>
                <w:rFonts w:ascii="標楷體" w:eastAsia="標楷體" w:hAnsi="標楷體"/>
              </w:rPr>
              <w:t>(使用</w:t>
            </w:r>
            <w:r>
              <w:rPr>
                <w:rFonts w:ascii="標楷體" w:eastAsia="標楷體" w:hAnsi="標楷體"/>
                <w:u w:val="single"/>
              </w:rPr>
              <w:t>靜脈注射</w:t>
            </w:r>
            <w:r>
              <w:rPr>
                <w:rFonts w:ascii="標楷體" w:eastAsia="標楷體" w:hAnsi="標楷體"/>
              </w:rPr>
              <w:t>2劑)或24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(使用</w:t>
            </w:r>
            <w:r>
              <w:rPr>
                <w:rFonts w:ascii="標楷體" w:eastAsia="標楷體" w:hAnsi="標楷體"/>
                <w:u w:val="single"/>
              </w:rPr>
              <w:t>靜脈注射</w:t>
            </w:r>
            <w:r>
              <w:rPr>
                <w:rFonts w:ascii="標楷體" w:eastAsia="標楷體" w:hAnsi="標楷體"/>
              </w:rPr>
              <w:t>3劑)</w:t>
            </w:r>
            <w:r>
              <w:rPr>
                <w:rFonts w:ascii="標楷體" w:eastAsia="標楷體" w:hAnsi="標楷體"/>
                <w:u w:val="single"/>
              </w:rPr>
              <w:t>，或第6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起，每24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(使用皮下注射12劑)</w:t>
            </w:r>
            <w:r>
              <w:rPr>
                <w:rFonts w:ascii="標楷體" w:eastAsia="標楷體" w:hAnsi="標楷體"/>
              </w:rPr>
              <w:t xml:space="preserve"> vedolizumab</w:t>
            </w:r>
            <w:proofErr w:type="gramStart"/>
            <w:r>
              <w:rPr>
                <w:rFonts w:ascii="標楷體" w:eastAsia="標楷體" w:hAnsi="標楷體"/>
              </w:rPr>
              <w:t>需每16週</w:t>
            </w:r>
            <w:proofErr w:type="gramEnd"/>
            <w:r>
              <w:rPr>
                <w:rFonts w:ascii="標楷體" w:eastAsia="標楷體" w:hAnsi="標楷體"/>
              </w:rPr>
              <w:t>(使用</w:t>
            </w:r>
            <w:r>
              <w:rPr>
                <w:rFonts w:ascii="標楷體" w:eastAsia="標楷體" w:hAnsi="標楷體"/>
                <w:u w:val="single"/>
              </w:rPr>
              <w:t>靜脈注射</w:t>
            </w:r>
            <w:r>
              <w:rPr>
                <w:rFonts w:ascii="標楷體" w:eastAsia="標楷體" w:hAnsi="標楷體"/>
              </w:rPr>
              <w:t>2劑)或24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(使用</w:t>
            </w:r>
            <w:r>
              <w:rPr>
                <w:rFonts w:ascii="標楷體" w:eastAsia="標楷體" w:hAnsi="標楷體"/>
                <w:u w:val="single"/>
              </w:rPr>
              <w:t>靜脈注射</w:t>
            </w:r>
            <w:r>
              <w:rPr>
                <w:rFonts w:ascii="標楷體" w:eastAsia="標楷體" w:hAnsi="標楷體"/>
              </w:rPr>
              <w:t>3劑)，</w:t>
            </w:r>
            <w:r>
              <w:rPr>
                <w:rFonts w:ascii="標楷體" w:eastAsia="標楷體" w:hAnsi="標楷體"/>
                <w:u w:val="single"/>
              </w:rPr>
              <w:t>或第6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起，每24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(使用皮下注射12劑)</w:t>
            </w:r>
            <w:r>
              <w:rPr>
                <w:rFonts w:ascii="標楷體" w:eastAsia="標楷體" w:hAnsi="標楷體"/>
              </w:rPr>
              <w:t>評估一次，以及tofacitinib每24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(使用2劑)、</w:t>
            </w:r>
            <w:proofErr w:type="spellStart"/>
            <w:r>
              <w:rPr>
                <w:rFonts w:ascii="標楷體" w:eastAsia="標楷體" w:hAnsi="標楷體"/>
              </w:rPr>
              <w:t>ustekinumab</w:t>
            </w:r>
            <w:proofErr w:type="spellEnd"/>
            <w:r>
              <w:rPr>
                <w:rFonts w:ascii="標楷體" w:eastAsia="標楷體" w:hAnsi="標楷體"/>
              </w:rPr>
              <w:t>繼續使用以24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(2劑或3劑)為限。</w:t>
            </w:r>
            <w:proofErr w:type="spellStart"/>
            <w:r>
              <w:rPr>
                <w:rFonts w:ascii="標楷體" w:eastAsia="標楷體" w:hAnsi="標楷體"/>
              </w:rPr>
              <w:t>upadacitinib</w:t>
            </w:r>
            <w:proofErr w:type="spellEnd"/>
            <w:r>
              <w:rPr>
                <w:rFonts w:ascii="標楷體" w:eastAsia="標楷體" w:hAnsi="標楷體"/>
              </w:rPr>
              <w:t>繼續</w:t>
            </w:r>
            <w:r>
              <w:rPr>
                <w:rFonts w:ascii="標楷體" w:eastAsia="標楷體" w:hAnsi="標楷體"/>
              </w:rPr>
              <w:lastRenderedPageBreak/>
              <w:t>使用以24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為限。</w:t>
            </w:r>
          </w:p>
          <w:p w14:paraId="358035D5" w14:textId="77777777" w:rsidR="000B622C" w:rsidRDefault="000B622C" w:rsidP="0003266F">
            <w:pPr>
              <w:ind w:left="599" w:hanging="229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golimumab治療期滿50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(使用14劑)、adalimumab治療期滿54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(使用28劑)；</w:t>
            </w:r>
            <w:r>
              <w:rPr>
                <w:rFonts w:ascii="標楷體" w:eastAsia="標楷體" w:hAnsi="標楷體"/>
                <w:u w:val="single"/>
              </w:rPr>
              <w:t>vedolizumab治療46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(使用靜脈注射8劑)，或第0、2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給予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靜脈輸注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300mg作為緩解之誘導；第6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開始給予皮下注射維持劑量108mg，之後每隔2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給予皮下注射維持劑量108mg，可持續治療至第52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(總共使用靜脈注射2劑，皮下注射24劑，療效持續至54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)；infliximab治療46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(使用靜脈注射8劑)，或第0、2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給予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靜脈輸注2劑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作為緩解之誘導；第6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開始給予皮下注射維持劑量120mg，之後每隔2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給予皮下注射維持劑量120mg，可持續治療至第52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(總共使用靜脈注射2劑，皮下注射24劑，療效持續至54</w:t>
            </w:r>
            <w:proofErr w:type="gramStart"/>
            <w:r>
              <w:rPr>
                <w:rFonts w:ascii="標楷體" w:eastAsia="標楷體" w:hAnsi="標楷體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/>
                <w:u w:val="single"/>
              </w:rPr>
              <w:t>)</w:t>
            </w:r>
            <w:r>
              <w:rPr>
                <w:rFonts w:ascii="標楷體" w:eastAsia="標楷體" w:hAnsi="標楷體"/>
              </w:rPr>
              <w:t>；以及tofacitinib治療56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後；</w:t>
            </w:r>
            <w:proofErr w:type="spellStart"/>
            <w:r>
              <w:rPr>
                <w:rFonts w:ascii="標楷體" w:eastAsia="標楷體" w:hAnsi="標楷體"/>
              </w:rPr>
              <w:t>ustekinumab</w:t>
            </w:r>
            <w:proofErr w:type="spellEnd"/>
            <w:r>
              <w:rPr>
                <w:rFonts w:ascii="標楷體" w:eastAsia="標楷體" w:hAnsi="標楷體"/>
              </w:rPr>
              <w:t xml:space="preserve"> 治療44 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使用5 劑(共使用1 劑靜脈注射及4 劑皮下注射)或48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(使用5劑或7劑)後；</w:t>
            </w:r>
            <w:proofErr w:type="spellStart"/>
            <w:r>
              <w:rPr>
                <w:rFonts w:ascii="標楷體" w:eastAsia="標楷體" w:hAnsi="標楷體"/>
              </w:rPr>
              <w:t>upadacitinib</w:t>
            </w:r>
            <w:proofErr w:type="spellEnd"/>
            <w:r>
              <w:rPr>
                <w:rFonts w:ascii="標楷體" w:eastAsia="標楷體" w:hAnsi="標楷體"/>
              </w:rPr>
              <w:t>治療56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後，再提出續用者，必須 距離前次生物製劑治療結束間隔3個月以上，若病情復發，依初次使用標準(其中經5-aminosalicylic acid藥物、類固醇、及/或免疫抑制劑充分治療，連續超過3個月)再次提出申請。</w:t>
            </w:r>
          </w:p>
          <w:p w14:paraId="129DEDA5" w14:textId="77777777" w:rsidR="000B622C" w:rsidRDefault="000B622C" w:rsidP="0003266F">
            <w:pPr>
              <w:ind w:left="599" w:hanging="229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連續2次因療程結束暫緩用藥而疾病復發，且第2次復發於藥效終止後3個月內發生，則可持續使用；惟</w:t>
            </w:r>
            <w:proofErr w:type="gramStart"/>
            <w:r>
              <w:rPr>
                <w:rFonts w:ascii="標楷體" w:eastAsia="標楷體" w:hAnsi="標楷體"/>
              </w:rPr>
              <w:t>需每24週</w:t>
            </w:r>
            <w:proofErr w:type="gramEnd"/>
            <w:r>
              <w:rPr>
                <w:rFonts w:ascii="標楷體" w:eastAsia="標楷體" w:hAnsi="標楷體"/>
              </w:rPr>
              <w:t>提出續用事前審查。必須Mayo score</w:t>
            </w:r>
            <w:proofErr w:type="gramStart"/>
            <w:r>
              <w:rPr>
                <w:rFonts w:ascii="標楷體" w:eastAsia="標楷體" w:hAnsi="標楷體"/>
              </w:rPr>
              <w:t>≦</w:t>
            </w:r>
            <w:proofErr w:type="gramEnd"/>
            <w:r>
              <w:rPr>
                <w:rFonts w:ascii="標楷體" w:eastAsia="標楷體" w:hAnsi="標楷體"/>
              </w:rPr>
              <w:t>6分且Mayo endoscopic subscore</w:t>
            </w:r>
            <w:proofErr w:type="gramStart"/>
            <w:r>
              <w:rPr>
                <w:rFonts w:ascii="標楷體" w:eastAsia="標楷體" w:hAnsi="標楷體"/>
              </w:rPr>
              <w:t>≦</w:t>
            </w:r>
            <w:proofErr w:type="gramEnd"/>
            <w:r>
              <w:rPr>
                <w:rFonts w:ascii="標楷體" w:eastAsia="標楷體" w:hAnsi="標楷體"/>
              </w:rPr>
              <w:t>1分，才可繼續使用。連續2年(4次評估)達到Mayo score</w:t>
            </w:r>
            <w:proofErr w:type="gramStart"/>
            <w:r>
              <w:rPr>
                <w:rFonts w:ascii="標楷體" w:eastAsia="標楷體" w:hAnsi="標楷體"/>
              </w:rPr>
              <w:t>≦</w:t>
            </w:r>
            <w:proofErr w:type="gramEnd"/>
            <w:r>
              <w:rPr>
                <w:rFonts w:ascii="標楷體" w:eastAsia="標楷體" w:hAnsi="標楷體"/>
              </w:rPr>
              <w:t xml:space="preserve">2分，且Mayo endoscopic </w:t>
            </w:r>
            <w:proofErr w:type="spellStart"/>
            <w:r>
              <w:rPr>
                <w:rFonts w:ascii="標楷體" w:eastAsia="標楷體" w:hAnsi="標楷體"/>
              </w:rPr>
              <w:t>subscore</w:t>
            </w:r>
            <w:proofErr w:type="spellEnd"/>
            <w:r>
              <w:rPr>
                <w:rFonts w:ascii="標楷體" w:eastAsia="標楷體" w:hAnsi="標楷體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</w:rPr>
              <w:t>≦</w:t>
            </w:r>
            <w:proofErr w:type="gramEnd"/>
            <w:r>
              <w:rPr>
                <w:rFonts w:ascii="標楷體" w:eastAsia="標楷體" w:hAnsi="標楷體"/>
              </w:rPr>
              <w:t>1，則應考慮停藥。</w:t>
            </w:r>
          </w:p>
        </w:tc>
      </w:tr>
      <w:tr w:rsidR="000B622C" w14:paraId="2E805830" w14:textId="77777777" w:rsidTr="000B622C">
        <w:trPr>
          <w:trHeight w:val="35"/>
        </w:trPr>
        <w:tc>
          <w:tcPr>
            <w:tcW w:w="0" w:type="auto"/>
            <w:gridSpan w:val="7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F1AB5" w14:textId="77777777" w:rsidR="000B622C" w:rsidRDefault="000B622C" w:rsidP="0003266F">
            <w:pPr>
              <w:spacing w:before="202"/>
            </w:pPr>
            <w:r>
              <w:rPr>
                <w:rFonts w:ascii="Webdings" w:eastAsia="Webdings" w:hAnsi="Webdings" w:cs="Webdings"/>
                <w:b/>
              </w:rPr>
              <w:t></w:t>
            </w:r>
            <w:r>
              <w:rPr>
                <w:rFonts w:ascii="標楷體" w:eastAsia="標楷體" w:hAnsi="標楷體"/>
                <w:b/>
              </w:rPr>
              <w:t>符合「須排除或停止生物製劑使用之情形」</w:t>
            </w:r>
          </w:p>
        </w:tc>
      </w:tr>
      <w:tr w:rsidR="000B622C" w14:paraId="0CBC693A" w14:textId="77777777" w:rsidTr="000B622C">
        <w:trPr>
          <w:cantSplit/>
          <w:trHeight w:val="885"/>
        </w:trPr>
        <w:tc>
          <w:tcPr>
            <w:tcW w:w="0" w:type="auto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C3F964" w14:textId="77777777" w:rsidR="000B622C" w:rsidRDefault="000B622C" w:rsidP="0003266F">
            <w:pPr>
              <w:tabs>
                <w:tab w:val="left" w:pos="425"/>
              </w:tabs>
              <w:ind w:firstLine="89"/>
              <w:textAlignment w:val="center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是</w:t>
            </w:r>
          </w:p>
          <w:p w14:paraId="55431D89" w14:textId="77777777" w:rsidR="000B622C" w:rsidRDefault="000B622C" w:rsidP="0003266F">
            <w:pPr>
              <w:tabs>
                <w:tab w:val="left" w:pos="425"/>
              </w:tabs>
              <w:ind w:left="92"/>
              <w:textAlignment w:val="center"/>
            </w:pPr>
            <w:proofErr w:type="gramStart"/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否</w:t>
            </w:r>
            <w:proofErr w:type="gramEnd"/>
          </w:p>
        </w:tc>
        <w:tc>
          <w:tcPr>
            <w:tcW w:w="0" w:type="auto"/>
            <w:gridSpan w:val="6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D0F10E" w14:textId="77777777" w:rsidR="000B622C" w:rsidRDefault="000B622C" w:rsidP="0003266F">
            <w:pPr>
              <w:textAlignment w:val="center"/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CE87480" wp14:editId="6CCA23A5">
                      <wp:simplePos x="0" y="0"/>
                      <wp:positionH relativeFrom="column">
                        <wp:posOffset>441956</wp:posOffset>
                      </wp:positionH>
                      <wp:positionV relativeFrom="paragraph">
                        <wp:posOffset>199394</wp:posOffset>
                      </wp:positionV>
                      <wp:extent cx="695329" cy="0"/>
                      <wp:effectExtent l="0" t="0" r="0" b="0"/>
                      <wp:wrapNone/>
                      <wp:docPr id="33" name="直線接點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53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4A7EBB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EC4676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接點 37" o:spid="_x0000_s1026" type="#_x0000_t32" style="position:absolute;margin-left:34.8pt;margin-top:15.7pt;width:54.75pt;height:0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" strokecolor="#4a7ebb" strokeweight=".26467mm">
                      <v:stroke joinstyle="miter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</w:rPr>
              <w:t>是否有         仿單記載之禁忌情形。</w:t>
            </w:r>
          </w:p>
        </w:tc>
      </w:tr>
      <w:tr w:rsidR="000B622C" w14:paraId="31723162" w14:textId="77777777" w:rsidTr="000B622C">
        <w:trPr>
          <w:cantSplit/>
          <w:trHeight w:val="829"/>
        </w:trPr>
        <w:tc>
          <w:tcPr>
            <w:tcW w:w="0" w:type="auto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D7FF5" w14:textId="77777777" w:rsidR="000B622C" w:rsidRDefault="000B622C" w:rsidP="0003266F">
            <w:pPr>
              <w:tabs>
                <w:tab w:val="left" w:pos="425"/>
              </w:tabs>
              <w:ind w:firstLine="89"/>
              <w:textAlignment w:val="center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是</w:t>
            </w:r>
          </w:p>
          <w:p w14:paraId="0DC2A217" w14:textId="77777777" w:rsidR="000B622C" w:rsidRDefault="000B622C" w:rsidP="0003266F">
            <w:pPr>
              <w:tabs>
                <w:tab w:val="left" w:pos="425"/>
              </w:tabs>
              <w:ind w:firstLine="89"/>
              <w:textAlignment w:val="center"/>
            </w:pPr>
            <w:proofErr w:type="gramStart"/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否</w:t>
            </w:r>
            <w:proofErr w:type="gramEnd"/>
          </w:p>
        </w:tc>
        <w:tc>
          <w:tcPr>
            <w:tcW w:w="0" w:type="auto"/>
            <w:gridSpan w:val="6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D0F5CA" w14:textId="77777777" w:rsidR="000B622C" w:rsidRDefault="000B622C" w:rsidP="0003266F">
            <w:pPr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婦女是否正在懷孕</w:t>
            </w:r>
            <w:proofErr w:type="gramStart"/>
            <w:r>
              <w:rPr>
                <w:rFonts w:ascii="標楷體" w:eastAsia="標楷體" w:hAnsi="標楷體"/>
              </w:rPr>
              <w:t>或授乳</w:t>
            </w:r>
            <w:proofErr w:type="gramEnd"/>
            <w:r>
              <w:rPr>
                <w:rFonts w:ascii="標楷體" w:eastAsia="標楷體" w:hAnsi="標楷體"/>
              </w:rPr>
              <w:t>。</w:t>
            </w:r>
          </w:p>
        </w:tc>
      </w:tr>
      <w:tr w:rsidR="000B622C" w14:paraId="52F833BB" w14:textId="77777777" w:rsidTr="000B622C">
        <w:trPr>
          <w:cantSplit/>
          <w:trHeight w:val="841"/>
        </w:trPr>
        <w:tc>
          <w:tcPr>
            <w:tcW w:w="0" w:type="auto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DD3EC4" w14:textId="77777777" w:rsidR="000B622C" w:rsidRDefault="000B622C" w:rsidP="0003266F">
            <w:pPr>
              <w:tabs>
                <w:tab w:val="left" w:pos="425"/>
              </w:tabs>
              <w:ind w:firstLine="89"/>
              <w:textAlignment w:val="center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是</w:t>
            </w:r>
          </w:p>
          <w:p w14:paraId="36BDA797" w14:textId="77777777" w:rsidR="000B622C" w:rsidRDefault="000B622C" w:rsidP="0003266F">
            <w:pPr>
              <w:tabs>
                <w:tab w:val="left" w:pos="425"/>
              </w:tabs>
              <w:ind w:left="92"/>
              <w:textAlignment w:val="center"/>
            </w:pPr>
            <w:proofErr w:type="gramStart"/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否</w:t>
            </w:r>
            <w:proofErr w:type="gramEnd"/>
          </w:p>
        </w:tc>
        <w:tc>
          <w:tcPr>
            <w:tcW w:w="0" w:type="auto"/>
            <w:gridSpan w:val="6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D32326" w14:textId="77777777" w:rsidR="000B622C" w:rsidRDefault="000B622C" w:rsidP="0003266F">
            <w:pPr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病患是否有活動性感染症。</w:t>
            </w:r>
          </w:p>
        </w:tc>
      </w:tr>
      <w:tr w:rsidR="000B622C" w14:paraId="37EBB00D" w14:textId="77777777" w:rsidTr="000B622C">
        <w:trPr>
          <w:cantSplit/>
          <w:trHeight w:val="825"/>
        </w:trPr>
        <w:tc>
          <w:tcPr>
            <w:tcW w:w="0" w:type="auto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E57F5A" w14:textId="77777777" w:rsidR="000B622C" w:rsidRDefault="000B622C" w:rsidP="0003266F">
            <w:pPr>
              <w:tabs>
                <w:tab w:val="left" w:pos="425"/>
              </w:tabs>
              <w:ind w:firstLine="89"/>
              <w:textAlignment w:val="center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是</w:t>
            </w:r>
          </w:p>
          <w:p w14:paraId="7D53612E" w14:textId="77777777" w:rsidR="000B622C" w:rsidRDefault="000B622C" w:rsidP="0003266F">
            <w:pPr>
              <w:tabs>
                <w:tab w:val="left" w:pos="425"/>
              </w:tabs>
              <w:ind w:left="92"/>
              <w:textAlignment w:val="center"/>
            </w:pPr>
            <w:proofErr w:type="gramStart"/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否</w:t>
            </w:r>
            <w:proofErr w:type="gramEnd"/>
          </w:p>
        </w:tc>
        <w:tc>
          <w:tcPr>
            <w:tcW w:w="0" w:type="auto"/>
            <w:gridSpan w:val="6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C4187A" w14:textId="77777777" w:rsidR="000B622C" w:rsidRDefault="000B622C" w:rsidP="0003266F">
            <w:pPr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未經完整治療之結核病的病患（包括潛伏結核感染治療未達四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者，申請時應檢附潛伏結核感染篩檢紀錄及治療紀錄供審查）。</w:t>
            </w:r>
          </w:p>
        </w:tc>
      </w:tr>
      <w:tr w:rsidR="000B622C" w14:paraId="7098AEE8" w14:textId="77777777" w:rsidTr="000B622C">
        <w:trPr>
          <w:cantSplit/>
          <w:trHeight w:val="1829"/>
        </w:trPr>
        <w:tc>
          <w:tcPr>
            <w:tcW w:w="0" w:type="auto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CDB13F" w14:textId="77777777" w:rsidR="000B622C" w:rsidRDefault="000B622C" w:rsidP="0003266F">
            <w:pPr>
              <w:tabs>
                <w:tab w:val="left" w:pos="425"/>
              </w:tabs>
              <w:ind w:firstLine="600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</w:t>
            </w:r>
          </w:p>
          <w:p w14:paraId="5915BC84" w14:textId="77777777" w:rsidR="000B622C" w:rsidRDefault="000B622C" w:rsidP="0003266F">
            <w:pPr>
              <w:tabs>
                <w:tab w:val="left" w:pos="425"/>
              </w:tabs>
              <w:ind w:firstLine="89"/>
              <w:textAlignment w:val="center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是</w:t>
            </w:r>
          </w:p>
          <w:p w14:paraId="31EDECBF" w14:textId="77777777" w:rsidR="000B622C" w:rsidRDefault="000B622C" w:rsidP="0003266F">
            <w:pPr>
              <w:tabs>
                <w:tab w:val="left" w:pos="425"/>
              </w:tabs>
              <w:ind w:firstLine="89"/>
              <w:textAlignment w:val="center"/>
            </w:pPr>
            <w:proofErr w:type="gramStart"/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否</w:t>
            </w:r>
            <w:proofErr w:type="gramEnd"/>
          </w:p>
        </w:tc>
        <w:tc>
          <w:tcPr>
            <w:tcW w:w="0" w:type="auto"/>
            <w:gridSpan w:val="6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0183B" w14:textId="77777777" w:rsidR="000B622C" w:rsidRDefault="000B622C" w:rsidP="0003266F">
            <w:pPr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病患是否具有高度感染機會之情形，其中包括：</w:t>
            </w:r>
          </w:p>
          <w:p w14:paraId="0BCE55CB" w14:textId="77777777" w:rsidR="000B622C" w:rsidRDefault="000B622C" w:rsidP="0003266F">
            <w:pPr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</w:t>
            </w:r>
            <w:proofErr w:type="gramStart"/>
            <w:r>
              <w:rPr>
                <w:rFonts w:ascii="標楷體" w:eastAsia="標楷體" w:hAnsi="標楷體"/>
              </w:rPr>
              <w:t>慢性腿部</w:t>
            </w:r>
            <w:proofErr w:type="gramEnd"/>
            <w:r>
              <w:rPr>
                <w:rFonts w:ascii="標楷體" w:eastAsia="標楷體" w:hAnsi="標楷體"/>
              </w:rPr>
              <w:t>潰瘍。</w:t>
            </w:r>
          </w:p>
          <w:p w14:paraId="05BE15BB" w14:textId="77777777" w:rsidR="000B622C" w:rsidRDefault="000B622C" w:rsidP="0003266F">
            <w:pPr>
              <w:ind w:left="240" w:hanging="240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2.具有留置導尿管或身上有引流管之情形。</w:t>
            </w:r>
          </w:p>
          <w:p w14:paraId="68545743" w14:textId="77777777" w:rsidR="000B622C" w:rsidRDefault="000B622C" w:rsidP="0003266F">
            <w:pPr>
              <w:ind w:left="240" w:hanging="240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3.人工關節感染，該人工關節尚未摘除。</w:t>
            </w:r>
          </w:p>
          <w:p w14:paraId="06A48540" w14:textId="77777777" w:rsidR="000B622C" w:rsidRDefault="000B622C" w:rsidP="0003266F">
            <w:pPr>
              <w:ind w:left="240" w:hanging="240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4.頑固性或復發性的胸腔感染疾病。</w:t>
            </w:r>
          </w:p>
        </w:tc>
      </w:tr>
      <w:tr w:rsidR="000B622C" w14:paraId="353779CC" w14:textId="77777777" w:rsidTr="000B622C">
        <w:trPr>
          <w:cantSplit/>
          <w:trHeight w:val="991"/>
        </w:trPr>
        <w:tc>
          <w:tcPr>
            <w:tcW w:w="0" w:type="auto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7ADF23" w14:textId="77777777" w:rsidR="000B622C" w:rsidRDefault="000B622C" w:rsidP="0003266F">
            <w:pPr>
              <w:tabs>
                <w:tab w:val="left" w:pos="425"/>
              </w:tabs>
              <w:ind w:firstLine="89"/>
              <w:textAlignment w:val="center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是</w:t>
            </w:r>
          </w:p>
          <w:p w14:paraId="00CF0814" w14:textId="77777777" w:rsidR="000B622C" w:rsidRDefault="000B622C" w:rsidP="0003266F">
            <w:pPr>
              <w:tabs>
                <w:tab w:val="left" w:pos="425"/>
              </w:tabs>
              <w:ind w:left="92"/>
              <w:textAlignment w:val="center"/>
            </w:pPr>
            <w:proofErr w:type="gramStart"/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否</w:t>
            </w:r>
            <w:proofErr w:type="gramEnd"/>
          </w:p>
        </w:tc>
        <w:tc>
          <w:tcPr>
            <w:tcW w:w="0" w:type="auto"/>
            <w:gridSpan w:val="6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589E2" w14:textId="77777777" w:rsidR="000B622C" w:rsidRDefault="000B622C" w:rsidP="0003266F">
            <w:pPr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病患是否</w:t>
            </w:r>
            <w:proofErr w:type="gramStart"/>
            <w:r>
              <w:rPr>
                <w:rFonts w:ascii="標楷體" w:eastAsia="標楷體" w:hAnsi="標楷體"/>
              </w:rPr>
              <w:t>罹</w:t>
            </w:r>
            <w:proofErr w:type="gramEnd"/>
            <w:r>
              <w:rPr>
                <w:rFonts w:ascii="標楷體" w:eastAsia="標楷體" w:hAnsi="標楷體"/>
              </w:rPr>
              <w:t>患惡性腫瘤或具有癌症前兆(pre-malignancy)</w:t>
            </w:r>
          </w:p>
        </w:tc>
      </w:tr>
      <w:tr w:rsidR="000B622C" w14:paraId="3865081E" w14:textId="77777777" w:rsidTr="000B622C">
        <w:trPr>
          <w:cantSplit/>
          <w:trHeight w:val="821"/>
        </w:trPr>
        <w:tc>
          <w:tcPr>
            <w:tcW w:w="0" w:type="auto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484C28" w14:textId="77777777" w:rsidR="000B622C" w:rsidRDefault="000B622C" w:rsidP="0003266F">
            <w:pPr>
              <w:tabs>
                <w:tab w:val="left" w:pos="425"/>
              </w:tabs>
              <w:ind w:firstLine="89"/>
              <w:textAlignment w:val="center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是</w:t>
            </w:r>
          </w:p>
          <w:p w14:paraId="6C9E6FD6" w14:textId="77777777" w:rsidR="000B622C" w:rsidRDefault="000B622C" w:rsidP="0003266F">
            <w:pPr>
              <w:tabs>
                <w:tab w:val="left" w:pos="425"/>
              </w:tabs>
              <w:ind w:left="92"/>
              <w:textAlignment w:val="center"/>
            </w:pPr>
            <w:proofErr w:type="gramStart"/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否</w:t>
            </w:r>
            <w:proofErr w:type="gramEnd"/>
          </w:p>
        </w:tc>
        <w:tc>
          <w:tcPr>
            <w:tcW w:w="0" w:type="auto"/>
            <w:gridSpan w:val="6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354A03" w14:textId="77777777" w:rsidR="000B622C" w:rsidRDefault="000B622C" w:rsidP="0003266F">
            <w:pPr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病患是否</w:t>
            </w:r>
            <w:proofErr w:type="gramStart"/>
            <w:r>
              <w:rPr>
                <w:rFonts w:ascii="標楷體" w:eastAsia="標楷體" w:hAnsi="標楷體"/>
              </w:rPr>
              <w:t>罹</w:t>
            </w:r>
            <w:proofErr w:type="gramEnd"/>
            <w:r>
              <w:rPr>
                <w:rFonts w:ascii="標楷體" w:eastAsia="標楷體" w:hAnsi="標楷體"/>
              </w:rPr>
              <w:t>患多發性硬化症(multiple sclerosis)</w:t>
            </w:r>
          </w:p>
        </w:tc>
      </w:tr>
      <w:tr w:rsidR="000B622C" w14:paraId="1C1D97DE" w14:textId="77777777" w:rsidTr="000B622C">
        <w:trPr>
          <w:cantSplit/>
          <w:trHeight w:val="1272"/>
        </w:trPr>
        <w:tc>
          <w:tcPr>
            <w:tcW w:w="0" w:type="auto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F53520" w14:textId="77777777" w:rsidR="000B622C" w:rsidRDefault="000B622C" w:rsidP="0003266F">
            <w:pPr>
              <w:tabs>
                <w:tab w:val="left" w:pos="425"/>
              </w:tabs>
              <w:ind w:firstLine="89"/>
              <w:textAlignment w:val="center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是</w:t>
            </w:r>
          </w:p>
          <w:p w14:paraId="5803D860" w14:textId="77777777" w:rsidR="000B622C" w:rsidRDefault="000B622C" w:rsidP="0003266F">
            <w:pPr>
              <w:tabs>
                <w:tab w:val="left" w:pos="425"/>
              </w:tabs>
              <w:ind w:left="92"/>
              <w:textAlignment w:val="center"/>
            </w:pPr>
            <w:proofErr w:type="gramStart"/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否</w:t>
            </w:r>
            <w:proofErr w:type="gramEnd"/>
          </w:p>
        </w:tc>
        <w:tc>
          <w:tcPr>
            <w:tcW w:w="0" w:type="auto"/>
            <w:gridSpan w:val="6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90CD38" w14:textId="77777777" w:rsidR="000B622C" w:rsidRDefault="000B622C" w:rsidP="0003266F">
            <w:pPr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使用</w:t>
            </w:r>
            <w:proofErr w:type="spellStart"/>
            <w:r>
              <w:rPr>
                <w:rFonts w:ascii="標楷體" w:eastAsia="標楷體" w:hAnsi="標楷體"/>
              </w:rPr>
              <w:t>infliximab,golimumab,adalimumab,vedolizumab,tofacitinib</w:t>
            </w:r>
            <w:proofErr w:type="spellEnd"/>
            <w:r>
              <w:rPr>
                <w:rFonts w:ascii="標楷體" w:eastAsia="標楷體" w:hAnsi="標楷體"/>
              </w:rPr>
              <w:t xml:space="preserve">, </w:t>
            </w:r>
            <w:proofErr w:type="spellStart"/>
            <w:r>
              <w:rPr>
                <w:rFonts w:ascii="標楷體" w:eastAsia="標楷體" w:hAnsi="標楷體"/>
              </w:rPr>
              <w:t>ustekinumab</w:t>
            </w:r>
            <w:proofErr w:type="spellEnd"/>
            <w:r>
              <w:rPr>
                <w:rFonts w:ascii="標楷體" w:eastAsia="標楷體" w:hAnsi="標楷體"/>
              </w:rPr>
              <w:t>發生懷孕或不良事件(包括：惡性腫瘤、該藥物引起的嚴重毒性、嚴重的感染性疾病)</w:t>
            </w:r>
          </w:p>
        </w:tc>
      </w:tr>
      <w:tr w:rsidR="000B622C" w14:paraId="715DD09F" w14:textId="77777777" w:rsidTr="000B622C">
        <w:trPr>
          <w:cantSplit/>
          <w:trHeight w:val="786"/>
        </w:trPr>
        <w:tc>
          <w:tcPr>
            <w:tcW w:w="0" w:type="auto"/>
            <w:gridSpan w:val="5"/>
            <w:tcBorders>
              <w:top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57CDCE" w14:textId="77777777" w:rsidR="000B622C" w:rsidRDefault="000B622C" w:rsidP="0003266F">
            <w:pPr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申請醫師（簽名蓋章）：________________</w:t>
            </w:r>
          </w:p>
          <w:p w14:paraId="617F2D7A" w14:textId="77777777" w:rsidR="000B622C" w:rsidRDefault="000B622C" w:rsidP="0003266F">
            <w:pPr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消化系專科醫師證書：________________</w:t>
            </w:r>
          </w:p>
        </w:tc>
        <w:tc>
          <w:tcPr>
            <w:tcW w:w="0" w:type="auto"/>
            <w:gridSpan w:val="2"/>
            <w:tcBorders>
              <w:top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0092C2" w14:textId="77777777" w:rsidR="000B622C" w:rsidRDefault="000B622C" w:rsidP="0003266F">
            <w:pPr>
              <w:textAlignment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醫</w:t>
            </w:r>
            <w:proofErr w:type="gramEnd"/>
            <w:r>
              <w:rPr>
                <w:rFonts w:ascii="標楷體" w:eastAsia="標楷體" w:hAnsi="標楷體"/>
              </w:rPr>
              <w:t>事機構章戳：</w:t>
            </w:r>
          </w:p>
          <w:p w14:paraId="1C0B1CD5" w14:textId="77777777" w:rsidR="000B622C" w:rsidRDefault="000B622C" w:rsidP="0003266F">
            <w:pPr>
              <w:textAlignment w:val="center"/>
              <w:rPr>
                <w:rFonts w:ascii="標楷體" w:eastAsia="標楷體" w:hAnsi="標楷體"/>
              </w:rPr>
            </w:pPr>
          </w:p>
        </w:tc>
      </w:tr>
    </w:tbl>
    <w:p>
      <w:pPr>
        <w:spacing w:before="0" w:after="0" w:line="20" w:lineRule="exact"/>
        <w:rPr>
          <w:sz w:val="2"/>
          <w:szCs w:val="2"/>
        </w:rPr>
      </w:pPr>
    </w:p>
    <w:sectPr w:rsidR="0016529A">
      <w:headerReference w:type="default" r:id="rId36"/>
      <w:footerReference w:type="default" r:id="rId37"/>
      <w:pgSz w:w="11907" w:h="16840"/>
      <w:pgMar w:top="851" w:right="1106" w:bottom="851" w:left="1247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