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D61A5" w14:textId="77777777" w:rsidR="00401786" w:rsidRPr="00B9614E" w:rsidRDefault="00C64FB3" w:rsidP="00B9614E">
      <w:pPr>
        <w:pageBreakBefore/>
        <w:snapToGrid w:val="0"/>
        <w:spacing w:line="240" w:lineRule="atLeast"/>
        <w:rPr>
          <w:b/>
        </w:rPr>
      </w:pPr>
      <w:r w:rsidRPr="00B9614E">
        <w:rPr>
          <w:rFonts w:ascii="標楷體" w:eastAsia="標楷體" w:hAnsi="標楷體"/>
          <w:b/>
          <w:sz w:val="28"/>
          <w:szCs w:val="28"/>
        </w:rPr>
        <w:lastRenderedPageBreak/>
        <w:t>附表二十二之二：</w:t>
      </w:r>
      <w:proofErr w:type="gramStart"/>
      <w:r w:rsidRPr="00B9614E">
        <w:rPr>
          <w:rFonts w:ascii="標楷體" w:eastAsia="標楷體" w:hAnsi="標楷體"/>
          <w:b/>
          <w:sz w:val="28"/>
          <w:szCs w:val="28"/>
        </w:rPr>
        <w:t>乾癬性周邊</w:t>
      </w:r>
      <w:proofErr w:type="gramEnd"/>
      <w:r w:rsidRPr="00B9614E">
        <w:rPr>
          <w:rFonts w:ascii="標楷體" w:eastAsia="標楷體" w:hAnsi="標楷體"/>
          <w:b/>
          <w:sz w:val="28"/>
          <w:szCs w:val="28"/>
        </w:rPr>
        <w:t>關節炎使用DMARDs標準目標劑量及有效治療劑量的定義</w:t>
      </w:r>
    </w:p>
    <w:p w14:paraId="4107C5C4" w14:textId="77777777" w:rsidR="00401786" w:rsidRDefault="00401786" w:rsidP="000E757E">
      <w:pPr>
        <w:snapToGrid w:val="0"/>
        <w:spacing w:line="240" w:lineRule="atLeast"/>
        <w:rPr>
          <w:rFonts w:ascii="標楷體" w:eastAsia="標楷體" w:hAnsi="標楷體"/>
          <w:sz w:val="22"/>
        </w:rPr>
      </w:pPr>
    </w:p>
    <w:p w14:paraId="623ACD56" w14:textId="77777777" w:rsidR="00401786" w:rsidRDefault="00C64FB3" w:rsidP="002144EC">
      <w:pPr>
        <w:numPr>
          <w:ilvl w:val="0"/>
          <w:numId w:val="87"/>
        </w:num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符合標準疾病修飾類藥物(DMARDs)療法失敗的定義之前，應達到使用的標準目標劑量(</w:t>
      </w:r>
      <w:proofErr w:type="spellStart"/>
      <w:r>
        <w:rPr>
          <w:rFonts w:ascii="標楷體" w:eastAsia="標楷體" w:hAnsi="標楷體"/>
        </w:rPr>
        <w:t>standardtargetdoses</w:t>
      </w:r>
      <w:proofErr w:type="spellEnd"/>
      <w:r>
        <w:rPr>
          <w:rFonts w:ascii="標楷體" w:eastAsia="標楷體" w:hAnsi="標楷體"/>
        </w:rPr>
        <w:t>)：</w:t>
      </w:r>
    </w:p>
    <w:p w14:paraId="04E453FB" w14:textId="77777777" w:rsidR="00401786" w:rsidRDefault="00C64FB3" w:rsidP="002144EC">
      <w:pPr>
        <w:numPr>
          <w:ilvl w:val="0"/>
          <w:numId w:val="88"/>
        </w:numPr>
        <w:snapToGrid w:val="0"/>
        <w:spacing w:line="240" w:lineRule="atLeast"/>
        <w:ind w:hanging="1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Sulphasalazine2g/天(分次使用)</w:t>
      </w:r>
    </w:p>
    <w:p w14:paraId="467681B3" w14:textId="77777777" w:rsidR="00401786" w:rsidRDefault="00C64FB3" w:rsidP="002144EC">
      <w:pPr>
        <w:numPr>
          <w:ilvl w:val="0"/>
          <w:numId w:val="88"/>
        </w:numPr>
        <w:snapToGrid w:val="0"/>
        <w:spacing w:line="240" w:lineRule="atLeast"/>
        <w:ind w:hanging="1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Methotrexate15mg/</w:t>
      </w:r>
      <w:proofErr w:type="gramStart"/>
      <w:r>
        <w:rPr>
          <w:rFonts w:ascii="標楷體" w:eastAsia="標楷體" w:hAnsi="標楷體"/>
        </w:rPr>
        <w:t>週</w:t>
      </w:r>
      <w:proofErr w:type="gramEnd"/>
    </w:p>
    <w:p w14:paraId="4B5A8EBD" w14:textId="77777777" w:rsidR="00401786" w:rsidRDefault="00C64FB3" w:rsidP="002144EC">
      <w:pPr>
        <w:numPr>
          <w:ilvl w:val="0"/>
          <w:numId w:val="88"/>
        </w:numPr>
        <w:snapToGrid w:val="0"/>
        <w:spacing w:line="240" w:lineRule="atLeast"/>
        <w:ind w:hanging="1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Cyclosporine3-5mg/kg/天</w:t>
      </w:r>
    </w:p>
    <w:p w14:paraId="6C22B2E9" w14:textId="77777777" w:rsidR="00401786" w:rsidRDefault="00C64FB3" w:rsidP="002144EC">
      <w:pPr>
        <w:numPr>
          <w:ilvl w:val="0"/>
          <w:numId w:val="88"/>
        </w:numPr>
        <w:snapToGrid w:val="0"/>
        <w:spacing w:line="240" w:lineRule="atLeast"/>
        <w:ind w:hanging="1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Leflunomide20mg/天</w:t>
      </w:r>
    </w:p>
    <w:p w14:paraId="0A369513" w14:textId="77777777" w:rsidR="00401786" w:rsidRDefault="00401786" w:rsidP="000E757E">
      <w:pPr>
        <w:snapToGrid w:val="0"/>
        <w:spacing w:line="240" w:lineRule="atLeast"/>
        <w:rPr>
          <w:rFonts w:ascii="標楷體" w:eastAsia="標楷體" w:hAnsi="標楷體"/>
        </w:rPr>
      </w:pPr>
    </w:p>
    <w:p w14:paraId="6B01BA43" w14:textId="77777777" w:rsidR="00401786" w:rsidRDefault="00C64FB3" w:rsidP="000E757E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(2)疾病修飾類藥物(DMARDs)有效治療劑量(</w:t>
      </w:r>
      <w:proofErr w:type="spellStart"/>
      <w:r>
        <w:rPr>
          <w:rFonts w:ascii="標楷體" w:eastAsia="標楷體" w:hAnsi="標楷體"/>
        </w:rPr>
        <w:t>therapeuticdoses</w:t>
      </w:r>
      <w:proofErr w:type="spellEnd"/>
      <w:r>
        <w:rPr>
          <w:rFonts w:ascii="標楷體" w:eastAsia="標楷體" w:hAnsi="標楷體"/>
        </w:rPr>
        <w:t>)的定義：</w:t>
      </w:r>
    </w:p>
    <w:p w14:paraId="3C539DAB" w14:textId="77777777" w:rsidR="00401786" w:rsidRDefault="00C64FB3" w:rsidP="002144EC">
      <w:pPr>
        <w:numPr>
          <w:ilvl w:val="0"/>
          <w:numId w:val="88"/>
        </w:numPr>
        <w:snapToGrid w:val="0"/>
        <w:spacing w:line="240" w:lineRule="atLeast"/>
        <w:ind w:hanging="1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Sulphasalazine1-2g/天(分次使用)</w:t>
      </w:r>
    </w:p>
    <w:p w14:paraId="6ED47060" w14:textId="77777777" w:rsidR="00401786" w:rsidRDefault="00C64FB3" w:rsidP="002144EC">
      <w:pPr>
        <w:numPr>
          <w:ilvl w:val="0"/>
          <w:numId w:val="88"/>
        </w:numPr>
        <w:snapToGrid w:val="0"/>
        <w:spacing w:line="240" w:lineRule="atLeast"/>
        <w:ind w:hanging="1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Methotrexate7.5mg/</w:t>
      </w:r>
      <w:proofErr w:type="gramStart"/>
      <w:r>
        <w:rPr>
          <w:rFonts w:ascii="標楷體" w:eastAsia="標楷體" w:hAnsi="標楷體"/>
        </w:rPr>
        <w:t>週</w:t>
      </w:r>
      <w:proofErr w:type="gramEnd"/>
    </w:p>
    <w:p w14:paraId="66E8091C" w14:textId="77777777" w:rsidR="00401786" w:rsidRDefault="00C64FB3" w:rsidP="002144EC">
      <w:pPr>
        <w:numPr>
          <w:ilvl w:val="0"/>
          <w:numId w:val="88"/>
        </w:numPr>
        <w:snapToGrid w:val="0"/>
        <w:spacing w:line="240" w:lineRule="atLeast"/>
        <w:ind w:hanging="1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Cyclosporine3mg/kg/天</w:t>
      </w:r>
    </w:p>
    <w:p w14:paraId="6EB26949" w14:textId="77777777" w:rsidR="00401786" w:rsidRDefault="00C64FB3" w:rsidP="002144EC">
      <w:pPr>
        <w:numPr>
          <w:ilvl w:val="0"/>
          <w:numId w:val="88"/>
        </w:numPr>
        <w:snapToGrid w:val="0"/>
        <w:spacing w:line="240" w:lineRule="atLeast"/>
        <w:ind w:hanging="1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Leflunomide10mg/天</w:t>
      </w:r>
    </w:p>
    <w:sectPr w:rsidR="00401786" w:rsidSect="00655120">
      <w:pgSz w:w="11906" w:h="16838"/>
      <w:pgMar w:top="567" w:right="567" w:bottom="567" w:left="56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